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542AF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 w:rsidR="004D0134">
        <w:rPr>
          <w:u w:val="single"/>
        </w:rPr>
        <w:t>Energie pro sport na území města Plzně</w:t>
      </w:r>
      <w:r w:rsidR="0075670E">
        <w:rPr>
          <w:u w:val="single"/>
        </w:rPr>
        <w:t xml:space="preserve"> </w:t>
      </w:r>
      <w:r w:rsidR="004D0134">
        <w:rPr>
          <w:u w:val="single"/>
        </w:rPr>
        <w:t>za</w:t>
      </w:r>
      <w:r w:rsidR="00E75526">
        <w:rPr>
          <w:u w:val="single"/>
        </w:rPr>
        <w:t> ro</w:t>
      </w:r>
      <w:r w:rsidR="004D0134">
        <w:rPr>
          <w:u w:val="single"/>
        </w:rPr>
        <w:t>k</w:t>
      </w:r>
      <w:r w:rsidR="00E75526">
        <w:rPr>
          <w:u w:val="single"/>
        </w:rPr>
        <w:t xml:space="preserve"> </w:t>
      </w:r>
      <w:r w:rsidR="0075670E">
        <w:rPr>
          <w:u w:val="single"/>
        </w:rPr>
        <w:t>202</w:t>
      </w:r>
      <w:r w:rsidR="00787AB6">
        <w:rPr>
          <w:u w:val="single"/>
        </w:rPr>
        <w:t>3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="00787AB6">
              <w:rPr>
                <w:i/>
                <w:spacing w:val="-2"/>
                <w:lang w:val="cs-CZ"/>
              </w:rPr>
              <w:t xml:space="preserve">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12295C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072A35">
              <w:rPr>
                <w:spacing w:val="-2"/>
                <w:lang w:val="cs-CZ"/>
              </w:rPr>
              <w:t>Roman Zarzycký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4D71C8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Vítězslav Černý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F1478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sz w:val="22"/>
                <w:lang w:val="cs-CZ"/>
              </w:rPr>
              <w:t xml:space="preserve">pověřen </w:t>
            </w:r>
            <w:r w:rsidR="00E542AF" w:rsidRPr="00537FC1">
              <w:rPr>
                <w:spacing w:val="-2"/>
                <w:sz w:val="22"/>
                <w:lang w:val="cs-CZ"/>
              </w:rPr>
              <w:t>ved</w:t>
            </w:r>
            <w:r>
              <w:rPr>
                <w:spacing w:val="-2"/>
                <w:sz w:val="22"/>
                <w:lang w:val="cs-CZ"/>
              </w:rPr>
              <w:t>ením</w:t>
            </w:r>
            <w:r w:rsidR="00E542AF" w:rsidRPr="00537FC1">
              <w:rPr>
                <w:spacing w:val="-2"/>
                <w:sz w:val="22"/>
                <w:lang w:val="cs-CZ"/>
              </w:rPr>
              <w:t xml:space="preserve"> Odboru sportu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</w:t>
            </w:r>
            <w:r w:rsidR="008B626E">
              <w:rPr>
                <w:spacing w:val="-2"/>
                <w:lang w:val="cs-CZ"/>
              </w:rPr>
              <w:t>0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F1478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cernyvi</w:t>
            </w:r>
            <w:r w:rsidR="00E542AF">
              <w:rPr>
                <w:spacing w:val="-2"/>
              </w:rPr>
              <w:t>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 w:rsidR="00787AB6">
        <w:rPr>
          <w:i w:val="0"/>
          <w:sz w:val="24"/>
        </w:rPr>
        <w:t>se sídlem</w:t>
      </w:r>
      <w:r w:rsidRPr="00EA165E">
        <w:rPr>
          <w:i w:val="0"/>
          <w:sz w:val="24"/>
        </w:rPr>
        <w:t xml:space="preserve"> na území města Plzně. Smyslem programu je podpor</w:t>
      </w:r>
      <w:r w:rsidR="00787AB6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neziskových </w:t>
      </w:r>
      <w:r>
        <w:rPr>
          <w:i w:val="0"/>
          <w:sz w:val="24"/>
        </w:rPr>
        <w:t>organizací</w:t>
      </w:r>
      <w:r w:rsidRPr="00EA165E">
        <w:rPr>
          <w:i w:val="0"/>
          <w:sz w:val="24"/>
        </w:rPr>
        <w:t>, kter</w:t>
      </w:r>
      <w:r w:rsidR="00204B0E">
        <w:rPr>
          <w:i w:val="0"/>
          <w:sz w:val="24"/>
        </w:rPr>
        <w:t>ým vznikl nárůst energií</w:t>
      </w:r>
      <w:r w:rsidR="006C4FDC">
        <w:rPr>
          <w:i w:val="0"/>
          <w:sz w:val="24"/>
        </w:rPr>
        <w:t xml:space="preserve"> oproti roku </w:t>
      </w:r>
      <w:r w:rsidR="00E35044">
        <w:rPr>
          <w:i w:val="0"/>
          <w:sz w:val="24"/>
        </w:rPr>
        <w:t xml:space="preserve">2021 a </w:t>
      </w:r>
      <w:r w:rsidR="006C4FDC">
        <w:rPr>
          <w:i w:val="0"/>
          <w:sz w:val="24"/>
        </w:rPr>
        <w:t>2022 a</w:t>
      </w:r>
      <w:r w:rsidRPr="00EA165E">
        <w:rPr>
          <w:i w:val="0"/>
          <w:sz w:val="24"/>
        </w:rPr>
        <w:t xml:space="preserve"> svými aktivitami zajišťují aktivní využití volného času občanů, především dětí a mládeže.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organizace vykazující na území města Plzně sportovní činnost</w:t>
      </w:r>
      <w:r w:rsidR="00AE3E1E">
        <w:rPr>
          <w:i w:val="0"/>
          <w:sz w:val="24"/>
        </w:rPr>
        <w:t>, musí být vlastníkem</w:t>
      </w:r>
      <w:r w:rsidR="009305B1">
        <w:rPr>
          <w:i w:val="0"/>
          <w:sz w:val="24"/>
        </w:rPr>
        <w:t xml:space="preserve"> nebo</w:t>
      </w:r>
      <w:r w:rsidR="00AE3E1E">
        <w:rPr>
          <w:i w:val="0"/>
          <w:sz w:val="24"/>
        </w:rPr>
        <w:t xml:space="preserve"> </w:t>
      </w:r>
      <w:r w:rsidR="00991E64">
        <w:rPr>
          <w:i w:val="0"/>
          <w:sz w:val="24"/>
        </w:rPr>
        <w:t>dlouhodobý</w:t>
      </w:r>
      <w:r w:rsidR="0012295C">
        <w:rPr>
          <w:i w:val="0"/>
          <w:sz w:val="24"/>
        </w:rPr>
        <w:t>m</w:t>
      </w:r>
      <w:bookmarkStart w:id="4" w:name="_GoBack"/>
      <w:bookmarkEnd w:id="4"/>
      <w:r w:rsidR="00991E64">
        <w:rPr>
          <w:i w:val="0"/>
          <w:sz w:val="24"/>
        </w:rPr>
        <w:t xml:space="preserve"> </w:t>
      </w:r>
      <w:r w:rsidR="00AE3E1E">
        <w:rPr>
          <w:i w:val="0"/>
          <w:sz w:val="24"/>
        </w:rPr>
        <w:t xml:space="preserve">nájemcem </w:t>
      </w:r>
      <w:r w:rsidR="009305B1">
        <w:rPr>
          <w:i w:val="0"/>
          <w:sz w:val="24"/>
        </w:rPr>
        <w:t>s energiemi napsanými na vlastní jméno</w:t>
      </w:r>
      <w:r w:rsidR="00AE3E1E">
        <w:rPr>
          <w:i w:val="0"/>
          <w:sz w:val="24"/>
        </w:rPr>
        <w:t xml:space="preserve">. </w:t>
      </w:r>
      <w:r w:rsidR="00E35044">
        <w:rPr>
          <w:i w:val="0"/>
          <w:sz w:val="24"/>
        </w:rPr>
        <w:t xml:space="preserve">U žadatele muselo dojít k </w:t>
      </w:r>
      <w:r w:rsidR="00E35044" w:rsidRPr="00E35044">
        <w:rPr>
          <w:i w:val="0"/>
          <w:sz w:val="24"/>
        </w:rPr>
        <w:t>nárůst</w:t>
      </w:r>
      <w:r w:rsidR="00E35044">
        <w:rPr>
          <w:i w:val="0"/>
          <w:sz w:val="24"/>
        </w:rPr>
        <w:t>u</w:t>
      </w:r>
      <w:r w:rsidR="00E35044" w:rsidRPr="00E35044">
        <w:rPr>
          <w:i w:val="0"/>
          <w:sz w:val="24"/>
        </w:rPr>
        <w:t xml:space="preserve"> energií min. o </w:t>
      </w:r>
      <w:r w:rsidR="00E35044">
        <w:rPr>
          <w:i w:val="0"/>
          <w:sz w:val="24"/>
        </w:rPr>
        <w:t>3</w:t>
      </w:r>
      <w:r w:rsidR="00E35044" w:rsidRPr="00E35044">
        <w:rPr>
          <w:i w:val="0"/>
          <w:sz w:val="24"/>
        </w:rPr>
        <w:t>0 % oproti roku 2021 nebo 2022.</w:t>
      </w:r>
      <w:r w:rsidR="00E35044"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 xml:space="preserve"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</w:t>
      </w:r>
    </w:p>
    <w:p w:rsidR="00E542AF" w:rsidRPr="00EA165E" w:rsidRDefault="00E542AF" w:rsidP="00537FC1">
      <w:pPr>
        <w:pStyle w:val="Nadpis3"/>
      </w:pPr>
      <w:bookmarkStart w:id="5" w:name="_Toc99268700"/>
      <w:r>
        <w:t>V</w:t>
      </w:r>
      <w:r w:rsidRPr="00EA165E">
        <w:t>. Rozsah poskytované podpory</w:t>
      </w:r>
      <w:bookmarkEnd w:id="5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</w:t>
      </w:r>
      <w:r w:rsidRPr="00E35044">
        <w:rPr>
          <w:i w:val="0"/>
          <w:sz w:val="24"/>
        </w:rPr>
        <w:t xml:space="preserve">činí </w:t>
      </w:r>
      <w:r w:rsidR="009305B1">
        <w:rPr>
          <w:i w:val="0"/>
          <w:sz w:val="24"/>
        </w:rPr>
        <w:t>4</w:t>
      </w:r>
      <w:r w:rsidR="00B97615" w:rsidRPr="00E35044">
        <w:rPr>
          <w:i w:val="0"/>
          <w:sz w:val="24"/>
        </w:rPr>
        <w:t xml:space="preserve"> mil. Kč</w:t>
      </w:r>
      <w:r w:rsidRPr="00A0240C">
        <w:rPr>
          <w:i w:val="0"/>
          <w:sz w:val="24"/>
        </w:rPr>
        <w:t>.</w:t>
      </w:r>
      <w:r w:rsidR="002476B4">
        <w:rPr>
          <w:i w:val="0"/>
          <w:sz w:val="24"/>
        </w:rPr>
        <w:t xml:space="preserve"> </w:t>
      </w:r>
      <w:r w:rsidR="00EC4076" w:rsidRPr="00365BCA">
        <w:rPr>
          <w:b/>
          <w:i w:val="0"/>
          <w:sz w:val="24"/>
        </w:rPr>
        <w:t>Č</w:t>
      </w:r>
      <w:r w:rsidR="002476B4" w:rsidRPr="00365BCA">
        <w:rPr>
          <w:b/>
          <w:i w:val="0"/>
          <w:sz w:val="24"/>
        </w:rPr>
        <w:t>ás</w:t>
      </w:r>
      <w:r w:rsidR="002476B4" w:rsidRPr="00661B7E">
        <w:rPr>
          <w:b/>
          <w:i w:val="0"/>
          <w:sz w:val="24"/>
        </w:rPr>
        <w:t xml:space="preserve">tka žádosti </w:t>
      </w:r>
      <w:r w:rsidR="00EC4076">
        <w:rPr>
          <w:b/>
          <w:i w:val="0"/>
          <w:sz w:val="24"/>
        </w:rPr>
        <w:t xml:space="preserve">činí minimálně </w:t>
      </w:r>
      <w:r w:rsidR="00047076">
        <w:rPr>
          <w:b/>
          <w:i w:val="0"/>
          <w:sz w:val="24"/>
        </w:rPr>
        <w:t>3</w:t>
      </w:r>
      <w:r w:rsidR="00EC4076">
        <w:rPr>
          <w:b/>
          <w:i w:val="0"/>
          <w:sz w:val="24"/>
        </w:rPr>
        <w:t>0, maximálně 1</w:t>
      </w:r>
      <w:r w:rsidR="001D08AF">
        <w:rPr>
          <w:b/>
          <w:i w:val="0"/>
          <w:sz w:val="24"/>
        </w:rPr>
        <w:t>0</w:t>
      </w:r>
      <w:r w:rsidR="002476B4" w:rsidRPr="00661B7E">
        <w:rPr>
          <w:b/>
          <w:i w:val="0"/>
          <w:sz w:val="24"/>
        </w:rPr>
        <w:t>0 tis. Kč.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Pr="007B28D3" w:rsidRDefault="00E542AF" w:rsidP="00537FC1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E542AF" w:rsidRDefault="00E542AF" w:rsidP="00537FC1">
      <w:pPr>
        <w:ind w:right="-108"/>
        <w:jc w:val="both"/>
      </w:pPr>
      <w:r w:rsidRPr="007B28D3">
        <w:t>Smysluplnost žádosti</w:t>
      </w:r>
      <w:r w:rsidR="00AE3E1E">
        <w:t xml:space="preserve">, </w:t>
      </w:r>
      <w:r w:rsidRPr="007B28D3">
        <w:t>reálnost požadované výše dotace</w:t>
      </w:r>
      <w:r w:rsidR="00AE3E1E">
        <w:t xml:space="preserve"> a nárůst energií min. o 30</w:t>
      </w:r>
      <w:r w:rsidR="002F0FF9">
        <w:t xml:space="preserve"> </w:t>
      </w:r>
      <w:r w:rsidR="00AE3E1E" w:rsidRPr="007906D3">
        <w:t>%</w:t>
      </w:r>
      <w:r w:rsidR="002F0FF9" w:rsidRPr="007906D3">
        <w:t xml:space="preserve"> oproti roku</w:t>
      </w:r>
      <w:r w:rsidR="002F0FF9">
        <w:rPr>
          <w:lang w:val="en-US"/>
        </w:rPr>
        <w:t xml:space="preserve"> </w:t>
      </w:r>
      <w:r w:rsidR="00E35044">
        <w:rPr>
          <w:lang w:val="en-US"/>
        </w:rPr>
        <w:t xml:space="preserve">2021 </w:t>
      </w:r>
      <w:proofErr w:type="spellStart"/>
      <w:r w:rsidR="00E35044">
        <w:rPr>
          <w:lang w:val="en-US"/>
        </w:rPr>
        <w:t>nebo</w:t>
      </w:r>
      <w:proofErr w:type="spellEnd"/>
      <w:r w:rsidR="00E35044">
        <w:rPr>
          <w:lang w:val="en-US"/>
        </w:rPr>
        <w:t xml:space="preserve"> </w:t>
      </w:r>
      <w:r w:rsidR="002F0FF9">
        <w:rPr>
          <w:lang w:val="en-US"/>
        </w:rPr>
        <w:t>2022</w:t>
      </w:r>
      <w:r w:rsidR="007906D3">
        <w:rPr>
          <w:lang w:val="en-US"/>
        </w:rPr>
        <w:t xml:space="preserve">. </w:t>
      </w:r>
      <w:r w:rsidR="007906D3" w:rsidRPr="00D57608">
        <w:t>Z</w:t>
      </w:r>
      <w:r w:rsidR="009E2333" w:rsidRPr="00D57608">
        <w:t>ároveň</w:t>
      </w:r>
      <w:r w:rsidR="009E2333" w:rsidRPr="007906D3">
        <w:t xml:space="preserve"> žadatel prokáže při pronájmu dalším subjektům nezdražení hodinové sazby </w:t>
      </w:r>
      <w:r w:rsidR="007906D3">
        <w:t>(</w:t>
      </w:r>
      <w:r w:rsidR="009E2333" w:rsidRPr="007906D3">
        <w:t>při pronájmu dětem a mládeži</w:t>
      </w:r>
      <w:r w:rsidR="007906D3">
        <w:t>)</w:t>
      </w:r>
      <w:r w:rsidR="00B44D2C">
        <w:t xml:space="preserve"> o více než </w:t>
      </w:r>
      <w:proofErr w:type="gramStart"/>
      <w:r w:rsidR="00B44D2C">
        <w:t>20%</w:t>
      </w:r>
      <w:proofErr w:type="gramEnd"/>
      <w:r w:rsidRPr="007906D3">
        <w:t>.</w:t>
      </w:r>
      <w:r w:rsidRPr="007B28D3">
        <w:t xml:space="preserve"> </w:t>
      </w:r>
    </w:p>
    <w:p w:rsidR="00E542AF" w:rsidRDefault="00E542AF" w:rsidP="00537FC1">
      <w:pPr>
        <w:ind w:right="-108"/>
        <w:jc w:val="both"/>
      </w:pPr>
      <w:r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E542AF" w:rsidRDefault="00E542AF" w:rsidP="00537FC1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0D21AC" w:rsidRPr="007B28D3" w:rsidRDefault="000D21AC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lastRenderedPageBreak/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753887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 w:rsidR="00753887">
        <w:t>.</w:t>
      </w:r>
    </w:p>
    <w:p w:rsidR="00950E34" w:rsidRDefault="00950E34" w:rsidP="00753887">
      <w:pPr>
        <w:jc w:val="both"/>
      </w:pPr>
      <w:r>
        <w:t xml:space="preserve">Podání žádosti o dotaci pro rok 2023 </w:t>
      </w:r>
      <w:r w:rsidR="003F5BEE">
        <w:t>je</w:t>
      </w:r>
      <w:r>
        <w:t xml:space="preserve"> umožněno výhradně elektronicky prostřednictvím dotačního portálu města Plzně - </w:t>
      </w:r>
      <w:hyperlink r:id="rId8" w:history="1">
        <w:r w:rsidRPr="00BA3265">
          <w:rPr>
            <w:rStyle w:val="Hypertextovodkaz"/>
          </w:rPr>
          <w:t>https://dotace.plzen.eu</w:t>
        </w:r>
      </w:hyperlink>
    </w:p>
    <w:p w:rsidR="00E542AF" w:rsidRPr="00EA165E" w:rsidRDefault="00E542AF" w:rsidP="00537FC1">
      <w:pPr>
        <w:jc w:val="both"/>
      </w:pPr>
    </w:p>
    <w:p w:rsidR="00E542AF" w:rsidRPr="00753887" w:rsidRDefault="00E542AF" w:rsidP="00537FC1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>a) výkaz zisku a ztrát za uplynulé účetní období,</w:t>
      </w:r>
    </w:p>
    <w:p w:rsidR="00122851" w:rsidRDefault="00753887" w:rsidP="00753887">
      <w:r>
        <w:t xml:space="preserve">b) </w:t>
      </w:r>
      <w:r w:rsidR="00E542AF" w:rsidRPr="00EA165E">
        <w:t xml:space="preserve">výpis z veřejného rejstříku vedeného příslušným soudem ne starší než jeden měsíc, případně aktuální stanovy, doklad o zastupování žadatele </w:t>
      </w:r>
    </w:p>
    <w:p w:rsidR="00CB78F6" w:rsidRDefault="00CB78F6" w:rsidP="00753887">
      <w:r>
        <w:t xml:space="preserve">c) </w:t>
      </w:r>
      <w:r w:rsidR="00C4745B">
        <w:t xml:space="preserve">úplný </w:t>
      </w:r>
      <w:r w:rsidRPr="00EA165E">
        <w:t xml:space="preserve">výpis z veřejného rejstříku </w:t>
      </w:r>
      <w:r>
        <w:t>evidence skutečných majitelů</w:t>
      </w:r>
    </w:p>
    <w:p w:rsidR="00E542AF" w:rsidRPr="00EA165E" w:rsidRDefault="00CB78F6" w:rsidP="00537FC1">
      <w:pPr>
        <w:jc w:val="both"/>
      </w:pPr>
      <w:r>
        <w:t>d</w:t>
      </w:r>
      <w:r w:rsidR="00122851">
        <w:t>)</w:t>
      </w:r>
      <w:r w:rsidR="00753887">
        <w:t xml:space="preserve"> </w:t>
      </w:r>
      <w:r w:rsidR="00E542AF" w:rsidRPr="00EA165E">
        <w:t>doklad o vedení účtu u peněžního ústavu,</w:t>
      </w:r>
    </w:p>
    <w:p w:rsidR="00E4632F" w:rsidRDefault="001D5135" w:rsidP="00537FC1">
      <w:pPr>
        <w:jc w:val="both"/>
        <w:rPr>
          <w:color w:val="000000"/>
        </w:rPr>
      </w:pPr>
      <w:r>
        <w:rPr>
          <w:color w:val="000000"/>
        </w:rPr>
        <w:t>e</w:t>
      </w:r>
      <w:r w:rsidR="00E4632F">
        <w:rPr>
          <w:color w:val="000000"/>
        </w:rPr>
        <w:t>) list vlastnictví (vlastní sportoviště) případně smlouva o správě (sportoviště ve správě)</w:t>
      </w:r>
    </w:p>
    <w:p w:rsidR="00B44D2C" w:rsidRDefault="00B44D2C" w:rsidP="00537FC1">
      <w:pPr>
        <w:jc w:val="both"/>
        <w:rPr>
          <w:color w:val="000000"/>
        </w:rPr>
      </w:pPr>
      <w:r>
        <w:rPr>
          <w:color w:val="000000"/>
        </w:rPr>
        <w:t>f) vyúčtování provozních energií roku 2021, 202</w:t>
      </w:r>
      <w:r w:rsidR="000C4D02">
        <w:rPr>
          <w:color w:val="000000"/>
        </w:rPr>
        <w:t>2</w:t>
      </w:r>
      <w:r>
        <w:rPr>
          <w:color w:val="000000"/>
        </w:rPr>
        <w:t xml:space="preserve"> a přehled záloh či platební kalendář 2023</w:t>
      </w:r>
    </w:p>
    <w:p w:rsidR="00C43ECC" w:rsidRPr="00EA165E" w:rsidRDefault="00B44D2C" w:rsidP="00537FC1">
      <w:pPr>
        <w:jc w:val="both"/>
        <w:rPr>
          <w:color w:val="000000"/>
        </w:rPr>
      </w:pPr>
      <w:r>
        <w:rPr>
          <w:color w:val="000000"/>
        </w:rPr>
        <w:t>g</w:t>
      </w:r>
      <w:r w:rsidR="00C43ECC">
        <w:rPr>
          <w:color w:val="000000"/>
        </w:rPr>
        <w:t>) výpis z</w:t>
      </w:r>
      <w:r w:rsidR="000868A1">
        <w:rPr>
          <w:color w:val="000000"/>
        </w:rPr>
        <w:t> </w:t>
      </w:r>
      <w:r w:rsidR="00C43ECC" w:rsidRPr="00C43ECC">
        <w:rPr>
          <w:color w:val="000000"/>
        </w:rPr>
        <w:t>Rejstřík</w:t>
      </w:r>
      <w:r w:rsidR="000868A1">
        <w:rPr>
          <w:color w:val="000000"/>
        </w:rPr>
        <w:t>u sportu Národní sportovní agentury</w:t>
      </w:r>
    </w:p>
    <w:p w:rsidR="001D5135" w:rsidRDefault="00B44D2C" w:rsidP="001D5135">
      <w:pPr>
        <w:jc w:val="both"/>
        <w:rPr>
          <w:color w:val="000000"/>
        </w:rPr>
      </w:pPr>
      <w:r>
        <w:rPr>
          <w:color w:val="000000"/>
        </w:rPr>
        <w:t>h</w:t>
      </w:r>
      <w:r w:rsidR="001D5135" w:rsidRPr="00EA165E">
        <w:rPr>
          <w:color w:val="000000"/>
        </w:rPr>
        <w:t xml:space="preserve">) </w:t>
      </w:r>
      <w:r w:rsidR="001D5135">
        <w:rPr>
          <w:color w:val="000000"/>
        </w:rPr>
        <w:t>identifikace osob a čestné prohlášení (viz příloha)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74108A" w:rsidRDefault="0074108A" w:rsidP="00537FC1">
      <w:pPr>
        <w:pStyle w:val="Zkladntext"/>
        <w:rPr>
          <w:i w:val="0"/>
          <w:sz w:val="24"/>
        </w:rPr>
      </w:pPr>
    </w:p>
    <w:p w:rsidR="007E015B" w:rsidRDefault="007E015B" w:rsidP="00537FC1">
      <w:pPr>
        <w:pStyle w:val="Zkladntext"/>
        <w:rPr>
          <w:i w:val="0"/>
          <w:sz w:val="24"/>
        </w:rPr>
      </w:pPr>
      <w:r w:rsidRPr="007E015B">
        <w:rPr>
          <w:i w:val="0"/>
          <w:sz w:val="24"/>
        </w:rPr>
        <w:t xml:space="preserve">Všichni žadatelé budou o výsledku dotačního řízení vyrozuměni notifikačním e-mailem prostřednictvím aplikace </w:t>
      </w:r>
      <w:proofErr w:type="spellStart"/>
      <w:r w:rsidRPr="007E015B">
        <w:rPr>
          <w:i w:val="0"/>
          <w:sz w:val="24"/>
        </w:rPr>
        <w:t>eDotace</w:t>
      </w:r>
      <w:proofErr w:type="spellEnd"/>
      <w:r w:rsidRPr="007E015B">
        <w:rPr>
          <w:i w:val="0"/>
          <w:sz w:val="24"/>
        </w:rPr>
        <w:t xml:space="preserve"> nejpozději do 14 dnů od vydání usnesení závěrečného rozhodnutí příslušného orgánu města.</w:t>
      </w:r>
    </w:p>
    <w:p w:rsidR="00E542AF" w:rsidRDefault="00E542AF" w:rsidP="00537FC1">
      <w:pPr>
        <w:pStyle w:val="Nadpis3"/>
      </w:pPr>
      <w:r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E542AF" w:rsidRPr="00E95002" w:rsidRDefault="00E542AF" w:rsidP="00537FC1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na: </w:t>
      </w:r>
    </w:p>
    <w:p w:rsidR="001C38D9" w:rsidRDefault="001C38D9" w:rsidP="001C38D9">
      <w:pPr>
        <w:jc w:val="both"/>
      </w:pPr>
      <w:r>
        <w:t>na prokazatelné zvýšené náklady na energie související s provozem sportovního zařízení.</w:t>
      </w:r>
    </w:p>
    <w:p w:rsidR="00E542AF" w:rsidRPr="00E95002" w:rsidRDefault="001C38D9" w:rsidP="001C38D9">
      <w:pPr>
        <w:jc w:val="both"/>
        <w:rPr>
          <w:b/>
          <w:i/>
          <w:u w:val="single"/>
        </w:rPr>
      </w:pPr>
      <w:r w:rsidRPr="00E95002">
        <w:rPr>
          <w:b/>
          <w:i/>
          <w:u w:val="single"/>
        </w:rPr>
        <w:t xml:space="preserve"> </w:t>
      </w:r>
    </w:p>
    <w:p w:rsidR="00E542AF" w:rsidRPr="00E95002" w:rsidRDefault="00E542AF" w:rsidP="00537FC1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na: </w:t>
      </w:r>
    </w:p>
    <w:p w:rsidR="00E542AF" w:rsidRDefault="00E542AF" w:rsidP="00537FC1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E542AF" w:rsidRDefault="00E542AF" w:rsidP="00537FC1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E542AF" w:rsidRDefault="00E542AF" w:rsidP="00537FC1">
      <w:pPr>
        <w:jc w:val="both"/>
      </w:pPr>
      <w:r>
        <w:t xml:space="preserve">- </w:t>
      </w:r>
      <w:r w:rsidRPr="00C53492">
        <w:t>tvorbu kapitálového jmění;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odpisy majetku;</w:t>
      </w:r>
    </w:p>
    <w:p w:rsidR="00E542AF" w:rsidRDefault="00E542AF" w:rsidP="00537FC1">
      <w:pPr>
        <w:ind w:left="142" w:hanging="142"/>
        <w:jc w:val="both"/>
      </w:pPr>
      <w:r>
        <w:t xml:space="preserve">- </w:t>
      </w:r>
      <w:r w:rsidRPr="00C53492">
        <w:t>DPH, pokud může žadatel uplatnit nárok na odpočet DPH vůči finančnímu úřadu nebo požádat o její vrácení v souladu se zákonem č. 235/2004 Sb., v platném znění;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daně, pokuty a sankce;</w:t>
      </w:r>
    </w:p>
    <w:p w:rsidR="00E542AF" w:rsidRDefault="00E542AF" w:rsidP="00537FC1">
      <w:pPr>
        <w:ind w:left="142" w:hanging="142"/>
        <w:jc w:val="both"/>
      </w:pPr>
      <w:r>
        <w:t xml:space="preserve">- pořízení nebo technické zhodnocení dlouhodobého hmotného a nehmotného majetku (dlouhodobý hmotným majetkem se rozumí majetek, jehož doba použitelnosti je delší než jeden rok a vstupní cena vyšší než 40 000,- Kč; dlouhodobým nehmotným majetkem se rozumí majetek, jehož doba použitelnosti je delší než jeden rok a vstupní cena vyšší než </w:t>
      </w:r>
      <w:r w:rsidR="00946EC8">
        <w:br/>
      </w:r>
      <w:r>
        <w:t>60 000,- Kč) – nevztahuje se na investiční projekty;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 w:rsidR="00537FC1">
        <w:br/>
      </w:r>
      <w:r w:rsidRPr="00C53492">
        <w:t>k životním jubileím, příspěvky na rekreaci apod.);</w:t>
      </w:r>
    </w:p>
    <w:p w:rsidR="00E542AF" w:rsidRPr="00C53492" w:rsidRDefault="00E542AF" w:rsidP="00537FC1">
      <w:pPr>
        <w:ind w:left="142" w:hanging="142"/>
        <w:jc w:val="both"/>
      </w:pPr>
      <w:r w:rsidRPr="00C53492">
        <w:t>- splátky půjček, leasingové splátky, úhrada dluhů;</w:t>
      </w:r>
    </w:p>
    <w:p w:rsidR="00E542AF" w:rsidRPr="00C53492" w:rsidRDefault="00E542AF" w:rsidP="00537FC1">
      <w:pPr>
        <w:ind w:left="142" w:hanging="142"/>
        <w:jc w:val="both"/>
      </w:pPr>
      <w:r w:rsidRPr="00C53492">
        <w:t>- nespecifikované (nezpůsobilé) výdaje</w:t>
      </w:r>
      <w:r w:rsidR="00946EC8">
        <w:t>,</w:t>
      </w:r>
      <w:r w:rsidRPr="00C53492">
        <w:t xml:space="preserve"> tj. výdaje, které nelze účetně doložit;</w:t>
      </w:r>
    </w:p>
    <w:p w:rsidR="00E542AF" w:rsidRPr="00C53492" w:rsidRDefault="00E542AF" w:rsidP="00537FC1">
      <w:pPr>
        <w:ind w:left="142" w:hanging="142"/>
        <w:jc w:val="both"/>
      </w:pPr>
      <w:r w:rsidRPr="00C53492">
        <w:t>- činnost politických stran a hnutí;</w:t>
      </w:r>
    </w:p>
    <w:p w:rsidR="00E542AF" w:rsidRPr="00C53492" w:rsidRDefault="00E542AF" w:rsidP="00537FC1">
      <w:pPr>
        <w:ind w:left="142" w:hanging="142"/>
        <w:jc w:val="both"/>
      </w:pPr>
      <w:r w:rsidRPr="00C53492">
        <w:lastRenderedPageBreak/>
        <w:t>- poskytnutí dotace jinému subjektu (vyjma nadací a nadačních fondů);</w:t>
      </w:r>
    </w:p>
    <w:p w:rsidR="00E542AF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E542AF" w:rsidRPr="00682CA1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A165E" w:rsidRDefault="00E542AF" w:rsidP="00537FC1">
      <w:pPr>
        <w:pStyle w:val="Nadpis4"/>
        <w:jc w:val="both"/>
      </w:pPr>
      <w:bookmarkStart w:id="6" w:name="_Toc99268704"/>
      <w:r>
        <w:t>IX</w:t>
      </w:r>
      <w:r w:rsidRPr="00EA165E">
        <w:t>. Právní a organizační podmínky finanční podpory</w:t>
      </w:r>
      <w:bookmarkEnd w:id="6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9923B6" w:rsidRDefault="00E542AF" w:rsidP="009923B6">
      <w:pPr>
        <w:pStyle w:val="Nadpis4"/>
        <w:jc w:val="both"/>
      </w:pPr>
      <w:r>
        <w:t xml:space="preserve">X. </w:t>
      </w:r>
      <w:r w:rsidRPr="00EA165E">
        <w:t>Časový harmonogram projednávání žádostí o finanční podporu</w:t>
      </w:r>
    </w:p>
    <w:p w:rsidR="00E542AF" w:rsidRDefault="00BA7887" w:rsidP="00702FA0">
      <w:pPr>
        <w:pStyle w:val="Zkladntext"/>
        <w:numPr>
          <w:ilvl w:val="0"/>
          <w:numId w:val="33"/>
        </w:numPr>
        <w:rPr>
          <w:i w:val="0"/>
          <w:sz w:val="24"/>
        </w:rPr>
      </w:pPr>
      <w:r>
        <w:rPr>
          <w:i w:val="0"/>
          <w:sz w:val="24"/>
        </w:rPr>
        <w:t>Z</w:t>
      </w:r>
      <w:r w:rsidR="00E542AF" w:rsidRPr="00EA165E">
        <w:rPr>
          <w:i w:val="0"/>
          <w:sz w:val="24"/>
        </w:rPr>
        <w:t xml:space="preserve">veřejnění dotačního programu na úřední desce: </w:t>
      </w:r>
      <w:r w:rsidR="00A353D8">
        <w:rPr>
          <w:i w:val="0"/>
          <w:sz w:val="24"/>
        </w:rPr>
        <w:t>po schválení v </w:t>
      </w:r>
      <w:r w:rsidR="00661B7E">
        <w:rPr>
          <w:i w:val="0"/>
          <w:sz w:val="24"/>
        </w:rPr>
        <w:t>Radě</w:t>
      </w:r>
      <w:r w:rsidR="00A353D8">
        <w:rPr>
          <w:i w:val="0"/>
          <w:sz w:val="24"/>
        </w:rPr>
        <w:t xml:space="preserve"> města Plzně po dobu 90 dní</w:t>
      </w:r>
      <w:r>
        <w:rPr>
          <w:i w:val="0"/>
          <w:sz w:val="24"/>
        </w:rPr>
        <w:t>.</w:t>
      </w:r>
      <w:r w:rsidR="00E542AF" w:rsidRPr="00EA165E">
        <w:rPr>
          <w:i w:val="0"/>
          <w:sz w:val="24"/>
        </w:rPr>
        <w:tab/>
        <w:t xml:space="preserve">            </w:t>
      </w:r>
    </w:p>
    <w:p w:rsidR="00E542AF" w:rsidRPr="000E5BB9" w:rsidRDefault="00E542AF" w:rsidP="00702FA0">
      <w:pPr>
        <w:pStyle w:val="Zkladntext"/>
        <w:numPr>
          <w:ilvl w:val="0"/>
          <w:numId w:val="33"/>
        </w:numPr>
        <w:rPr>
          <w:i w:val="0"/>
          <w:sz w:val="24"/>
        </w:rPr>
      </w:pPr>
      <w:r w:rsidRPr="000E5BB9">
        <w:rPr>
          <w:i w:val="0"/>
          <w:sz w:val="24"/>
        </w:rPr>
        <w:t xml:space="preserve">podání žádostí: </w:t>
      </w:r>
      <w:r w:rsidR="00CC2F01">
        <w:rPr>
          <w:i w:val="0"/>
          <w:sz w:val="24"/>
        </w:rPr>
        <w:t>17</w:t>
      </w:r>
      <w:r w:rsidRPr="000E5BB9">
        <w:rPr>
          <w:i w:val="0"/>
          <w:sz w:val="24"/>
        </w:rPr>
        <w:t xml:space="preserve">. </w:t>
      </w:r>
      <w:r w:rsidR="00CC2F01">
        <w:rPr>
          <w:i w:val="0"/>
          <w:sz w:val="24"/>
        </w:rPr>
        <w:t>4</w:t>
      </w:r>
      <w:r w:rsidRPr="000E5BB9">
        <w:rPr>
          <w:i w:val="0"/>
          <w:sz w:val="24"/>
        </w:rPr>
        <w:t>.</w:t>
      </w:r>
      <w:r w:rsidR="00D75C3B" w:rsidRPr="000E5BB9">
        <w:rPr>
          <w:i w:val="0"/>
          <w:sz w:val="24"/>
        </w:rPr>
        <w:t xml:space="preserve"> 7:00</w:t>
      </w:r>
      <w:r w:rsidRPr="000E5BB9">
        <w:rPr>
          <w:i w:val="0"/>
          <w:sz w:val="24"/>
        </w:rPr>
        <w:t xml:space="preserve"> - </w:t>
      </w:r>
      <w:r w:rsidR="00CC2F01">
        <w:rPr>
          <w:i w:val="0"/>
          <w:sz w:val="24"/>
        </w:rPr>
        <w:t>28</w:t>
      </w:r>
      <w:r w:rsidRPr="000E5BB9">
        <w:rPr>
          <w:i w:val="0"/>
          <w:sz w:val="24"/>
        </w:rPr>
        <w:t xml:space="preserve">. </w:t>
      </w:r>
      <w:r w:rsidR="00CC2F01">
        <w:rPr>
          <w:i w:val="0"/>
          <w:sz w:val="24"/>
        </w:rPr>
        <w:t>4</w:t>
      </w:r>
      <w:r w:rsidRPr="000E5BB9">
        <w:rPr>
          <w:i w:val="0"/>
          <w:sz w:val="24"/>
        </w:rPr>
        <w:t>. 202</w:t>
      </w:r>
      <w:r w:rsidR="00D02DE8" w:rsidRPr="000E5BB9">
        <w:rPr>
          <w:i w:val="0"/>
          <w:sz w:val="24"/>
        </w:rPr>
        <w:t>3</w:t>
      </w:r>
      <w:r w:rsidR="00490536" w:rsidRPr="000E5BB9">
        <w:rPr>
          <w:i w:val="0"/>
          <w:sz w:val="24"/>
        </w:rPr>
        <w:t>, 12:00 hodin</w:t>
      </w:r>
      <w:r w:rsidRPr="000E5BB9">
        <w:rPr>
          <w:i w:val="0"/>
          <w:sz w:val="24"/>
        </w:rPr>
        <w:tab/>
      </w:r>
      <w:r w:rsidRPr="000E5BB9">
        <w:rPr>
          <w:i w:val="0"/>
          <w:sz w:val="24"/>
        </w:rPr>
        <w:tab/>
      </w:r>
      <w:r w:rsidRPr="000E5BB9">
        <w:rPr>
          <w:i w:val="0"/>
          <w:sz w:val="24"/>
        </w:rPr>
        <w:tab/>
        <w:t xml:space="preserve">            </w:t>
      </w:r>
    </w:p>
    <w:p w:rsidR="00E542AF" w:rsidRPr="000E5BB9" w:rsidRDefault="00E542AF" w:rsidP="00702FA0">
      <w:pPr>
        <w:pStyle w:val="Zkladntext"/>
        <w:numPr>
          <w:ilvl w:val="0"/>
          <w:numId w:val="33"/>
        </w:numPr>
        <w:rPr>
          <w:i w:val="0"/>
          <w:sz w:val="24"/>
        </w:rPr>
      </w:pPr>
      <w:r w:rsidRPr="000E5BB9">
        <w:rPr>
          <w:i w:val="0"/>
          <w:sz w:val="24"/>
        </w:rPr>
        <w:t xml:space="preserve">posouzení žádostí: do </w:t>
      </w:r>
      <w:r w:rsidR="00CC2F01">
        <w:rPr>
          <w:i w:val="0"/>
          <w:sz w:val="24"/>
        </w:rPr>
        <w:t>30</w:t>
      </w:r>
      <w:r w:rsidRPr="000E5BB9">
        <w:rPr>
          <w:i w:val="0"/>
          <w:sz w:val="24"/>
        </w:rPr>
        <w:t xml:space="preserve">. </w:t>
      </w:r>
      <w:r w:rsidR="00CC2F01">
        <w:rPr>
          <w:i w:val="0"/>
          <w:sz w:val="24"/>
        </w:rPr>
        <w:t>5</w:t>
      </w:r>
      <w:r w:rsidRPr="000E5BB9">
        <w:rPr>
          <w:i w:val="0"/>
          <w:sz w:val="24"/>
        </w:rPr>
        <w:t>. 202</w:t>
      </w:r>
      <w:r w:rsidR="00D02DE8" w:rsidRPr="000E5BB9">
        <w:rPr>
          <w:i w:val="0"/>
          <w:sz w:val="24"/>
        </w:rPr>
        <w:t>3</w:t>
      </w:r>
    </w:p>
    <w:p w:rsidR="00E542AF" w:rsidRPr="000E5BB9" w:rsidRDefault="00E542AF" w:rsidP="00702FA0">
      <w:pPr>
        <w:pStyle w:val="Zkladntext"/>
        <w:numPr>
          <w:ilvl w:val="0"/>
          <w:numId w:val="33"/>
        </w:numPr>
        <w:rPr>
          <w:i w:val="0"/>
          <w:sz w:val="24"/>
        </w:rPr>
      </w:pPr>
      <w:r w:rsidRPr="000E5BB9">
        <w:rPr>
          <w:i w:val="0"/>
          <w:sz w:val="24"/>
        </w:rPr>
        <w:t>projednání návrhu v Komisi pro sport a mládež Rady města Plzně:</w:t>
      </w:r>
      <w:r w:rsidR="00946EC8" w:rsidRPr="000E5BB9">
        <w:rPr>
          <w:i w:val="0"/>
          <w:sz w:val="24"/>
        </w:rPr>
        <w:t xml:space="preserve"> </w:t>
      </w:r>
      <w:r w:rsidRPr="000E5BB9">
        <w:rPr>
          <w:i w:val="0"/>
          <w:sz w:val="24"/>
        </w:rPr>
        <w:t xml:space="preserve">do </w:t>
      </w:r>
      <w:r w:rsidR="00CC2F01">
        <w:rPr>
          <w:i w:val="0"/>
          <w:sz w:val="24"/>
        </w:rPr>
        <w:t>1</w:t>
      </w:r>
      <w:r w:rsidR="009B588D" w:rsidRPr="000E5BB9">
        <w:rPr>
          <w:i w:val="0"/>
          <w:sz w:val="24"/>
        </w:rPr>
        <w:t>0</w:t>
      </w:r>
      <w:r w:rsidRPr="000E5BB9">
        <w:rPr>
          <w:i w:val="0"/>
          <w:sz w:val="24"/>
        </w:rPr>
        <w:t xml:space="preserve">. </w:t>
      </w:r>
      <w:r w:rsidR="009B588D" w:rsidRPr="000E5BB9">
        <w:rPr>
          <w:i w:val="0"/>
          <w:sz w:val="24"/>
        </w:rPr>
        <w:t>6</w:t>
      </w:r>
      <w:r w:rsidRPr="000E5BB9">
        <w:rPr>
          <w:i w:val="0"/>
          <w:sz w:val="24"/>
        </w:rPr>
        <w:t>. 202</w:t>
      </w:r>
      <w:r w:rsidR="00D02DE8" w:rsidRPr="000E5BB9">
        <w:rPr>
          <w:i w:val="0"/>
          <w:sz w:val="24"/>
        </w:rPr>
        <w:t>3</w:t>
      </w:r>
    </w:p>
    <w:p w:rsidR="00E542AF" w:rsidRPr="000E5BB9" w:rsidRDefault="00E542AF" w:rsidP="00702FA0">
      <w:pPr>
        <w:pStyle w:val="Zkladntext"/>
        <w:numPr>
          <w:ilvl w:val="0"/>
          <w:numId w:val="33"/>
        </w:numPr>
        <w:rPr>
          <w:i w:val="0"/>
          <w:sz w:val="24"/>
        </w:rPr>
      </w:pPr>
      <w:r w:rsidRPr="000E5BB9">
        <w:rPr>
          <w:i w:val="0"/>
          <w:sz w:val="24"/>
        </w:rPr>
        <w:t xml:space="preserve">rozhodnutí o přidělení podpory: </w:t>
      </w:r>
      <w:r w:rsidR="00946EC8" w:rsidRPr="000E5BB9">
        <w:rPr>
          <w:i w:val="0"/>
          <w:sz w:val="24"/>
        </w:rPr>
        <w:t xml:space="preserve">do 30. </w:t>
      </w:r>
      <w:r w:rsidR="009B588D" w:rsidRPr="000E5BB9">
        <w:rPr>
          <w:i w:val="0"/>
          <w:sz w:val="24"/>
        </w:rPr>
        <w:t>6</w:t>
      </w:r>
      <w:r w:rsidR="00946EC8" w:rsidRPr="000E5BB9">
        <w:rPr>
          <w:i w:val="0"/>
          <w:sz w:val="24"/>
        </w:rPr>
        <w:t>.</w:t>
      </w:r>
      <w:r w:rsidRPr="000E5BB9">
        <w:rPr>
          <w:i w:val="0"/>
          <w:sz w:val="24"/>
        </w:rPr>
        <w:t xml:space="preserve"> 202</w:t>
      </w:r>
      <w:r w:rsidR="00D02DE8" w:rsidRPr="000E5BB9">
        <w:rPr>
          <w:i w:val="0"/>
          <w:sz w:val="24"/>
        </w:rPr>
        <w:t>3</w:t>
      </w:r>
    </w:p>
    <w:p w:rsidR="003F5BEE" w:rsidRDefault="003F5BEE" w:rsidP="000E5BB9">
      <w:pPr>
        <w:tabs>
          <w:tab w:val="left" w:pos="284"/>
          <w:tab w:val="left" w:pos="709"/>
        </w:tabs>
        <w:jc w:val="both"/>
      </w:pPr>
    </w:p>
    <w:p w:rsidR="000E5BB9" w:rsidRPr="004470CD" w:rsidRDefault="003F5BEE" w:rsidP="000E5BB9">
      <w:pPr>
        <w:tabs>
          <w:tab w:val="left" w:pos="284"/>
          <w:tab w:val="left" w:pos="709"/>
        </w:tabs>
        <w:jc w:val="both"/>
        <w:rPr>
          <w:b/>
        </w:rPr>
      </w:pPr>
      <w:r w:rsidRPr="004470CD">
        <w:rPr>
          <w:b/>
        </w:rPr>
        <w:t>Poznámka:</w:t>
      </w:r>
    </w:p>
    <w:p w:rsidR="000E5BB9" w:rsidRDefault="003F5BEE" w:rsidP="000E5BB9">
      <w:pPr>
        <w:tabs>
          <w:tab w:val="left" w:pos="284"/>
          <w:tab w:val="left" w:pos="709"/>
        </w:tabs>
        <w:jc w:val="both"/>
      </w:pPr>
      <w:r>
        <w:t xml:space="preserve">Žádosti podané do </w:t>
      </w:r>
      <w:r w:rsidR="006901B3">
        <w:t>24</w:t>
      </w:r>
      <w:r>
        <w:t xml:space="preserve">. </w:t>
      </w:r>
      <w:r w:rsidR="006901B3">
        <w:t>4</w:t>
      </w:r>
      <w:r>
        <w:t xml:space="preserve">. 2023 budou administrátory zkontrolovány a v případě chyb vráceny žadateli jednou k dopracování. Žádosti podané od </w:t>
      </w:r>
      <w:r w:rsidR="006901B3">
        <w:t>25</w:t>
      </w:r>
      <w:r>
        <w:t xml:space="preserve">. </w:t>
      </w:r>
      <w:r w:rsidR="006901B3">
        <w:t>4</w:t>
      </w:r>
      <w:r>
        <w:t xml:space="preserve">. do </w:t>
      </w:r>
      <w:r w:rsidR="006901B3">
        <w:t>28</w:t>
      </w:r>
      <w:r>
        <w:t xml:space="preserve">. </w:t>
      </w:r>
      <w:r w:rsidR="006901B3">
        <w:t>4</w:t>
      </w:r>
      <w:r>
        <w:t>. již nebude možné v případě chybovosti opravit a budou navrženy k</w:t>
      </w:r>
      <w:r w:rsidR="004470CD">
        <w:t> </w:t>
      </w:r>
      <w:r>
        <w:t>vyřazení</w:t>
      </w:r>
      <w:r w:rsidR="004470CD">
        <w:t>.</w:t>
      </w:r>
    </w:p>
    <w:p w:rsidR="003F5BEE" w:rsidRDefault="003F5BEE" w:rsidP="000E5BB9">
      <w:pPr>
        <w:tabs>
          <w:tab w:val="left" w:pos="284"/>
          <w:tab w:val="left" w:pos="709"/>
        </w:tabs>
        <w:jc w:val="both"/>
      </w:pPr>
    </w:p>
    <w:p w:rsidR="00AD2671" w:rsidRDefault="00AD2671" w:rsidP="00AD2671">
      <w:pPr>
        <w:pStyle w:val="Nadpis4"/>
        <w:jc w:val="both"/>
      </w:pPr>
      <w:r>
        <w:t>XI. Vyúčtování dotace</w:t>
      </w:r>
    </w:p>
    <w:p w:rsidR="00E542AF" w:rsidRPr="00AD2671" w:rsidRDefault="00AD2671" w:rsidP="00AD2671">
      <w:pPr>
        <w:pStyle w:val="Zkladntext"/>
        <w:rPr>
          <w:i w:val="0"/>
          <w:sz w:val="24"/>
        </w:rPr>
      </w:pPr>
      <w:r>
        <w:rPr>
          <w:i w:val="0"/>
          <w:sz w:val="24"/>
        </w:rPr>
        <w:t>V</w:t>
      </w:r>
      <w:r w:rsidR="00702FA0" w:rsidRPr="00AD2671">
        <w:rPr>
          <w:i w:val="0"/>
          <w:sz w:val="24"/>
        </w:rPr>
        <w:t xml:space="preserve">yplacení dotace následuje </w:t>
      </w:r>
      <w:r w:rsidR="003022FA">
        <w:rPr>
          <w:i w:val="0"/>
          <w:sz w:val="24"/>
        </w:rPr>
        <w:t xml:space="preserve">do 14 dní </w:t>
      </w:r>
      <w:r w:rsidR="00702FA0" w:rsidRPr="00AD2671">
        <w:rPr>
          <w:i w:val="0"/>
          <w:sz w:val="24"/>
        </w:rPr>
        <w:t>po vyúčtování. Vyúčtování dotace</w:t>
      </w:r>
      <w:r w:rsidR="006901B3">
        <w:rPr>
          <w:i w:val="0"/>
          <w:sz w:val="24"/>
        </w:rPr>
        <w:t xml:space="preserve"> se stanovuje</w:t>
      </w:r>
      <w:r>
        <w:rPr>
          <w:i w:val="0"/>
          <w:sz w:val="24"/>
        </w:rPr>
        <w:t xml:space="preserve"> </w:t>
      </w:r>
      <w:r w:rsidR="00702FA0" w:rsidRPr="00AD2671">
        <w:rPr>
          <w:i w:val="0"/>
          <w:sz w:val="24"/>
        </w:rPr>
        <w:t>do 5. 12. 2023</w:t>
      </w:r>
      <w:r w:rsidR="00BA7887" w:rsidRPr="00AD2671">
        <w:rPr>
          <w:i w:val="0"/>
          <w:sz w:val="24"/>
        </w:rPr>
        <w:t>.</w:t>
      </w:r>
      <w:r>
        <w:rPr>
          <w:i w:val="0"/>
          <w:sz w:val="24"/>
        </w:rPr>
        <w:t xml:space="preserve"> K vyúčtování je nutné předložit finální fakturu za </w:t>
      </w:r>
      <w:r w:rsidR="004470CD">
        <w:rPr>
          <w:i w:val="0"/>
          <w:sz w:val="24"/>
        </w:rPr>
        <w:t xml:space="preserve">provozní </w:t>
      </w:r>
      <w:r w:rsidR="00470FFA">
        <w:rPr>
          <w:i w:val="0"/>
          <w:sz w:val="24"/>
        </w:rPr>
        <w:t>energie v období roku 2023</w:t>
      </w:r>
      <w:r w:rsidR="004470CD">
        <w:rPr>
          <w:i w:val="0"/>
          <w:sz w:val="24"/>
        </w:rPr>
        <w:t>. V případě, že není ke dni vyúčtování vystaven</w:t>
      </w:r>
      <w:r w:rsidR="007E0228">
        <w:rPr>
          <w:i w:val="0"/>
          <w:sz w:val="24"/>
        </w:rPr>
        <w:t>o</w:t>
      </w:r>
      <w:r w:rsidR="004470CD">
        <w:rPr>
          <w:i w:val="0"/>
          <w:sz w:val="24"/>
        </w:rPr>
        <w:t xml:space="preserve">, je povinné </w:t>
      </w:r>
      <w:r w:rsidR="007E0228">
        <w:rPr>
          <w:i w:val="0"/>
          <w:sz w:val="24"/>
        </w:rPr>
        <w:t>ho</w:t>
      </w:r>
      <w:r w:rsidR="004470CD">
        <w:rPr>
          <w:i w:val="0"/>
          <w:sz w:val="24"/>
        </w:rPr>
        <w:t xml:space="preserve"> doložit do 14 dní od jeho obdržení</w:t>
      </w:r>
      <w:r w:rsidR="009923B6">
        <w:rPr>
          <w:i w:val="0"/>
          <w:sz w:val="24"/>
        </w:rPr>
        <w:t>.</w:t>
      </w:r>
    </w:p>
    <w:p w:rsidR="00397FFE" w:rsidRPr="00130FE2" w:rsidRDefault="00397FFE" w:rsidP="00537FC1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E542AF">
      <w:pPr>
        <w:jc w:val="both"/>
        <w:rPr>
          <w:color w:val="000000"/>
        </w:rPr>
      </w:pPr>
    </w:p>
    <w:p w:rsidR="00E542AF" w:rsidRDefault="00E542AF" w:rsidP="00E542AF">
      <w:r w:rsidRPr="00EA165E"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C2F3A">
        <w:t>Mgr. Vítězslav Černý</w:t>
      </w:r>
    </w:p>
    <w:p w:rsidR="002E4E66" w:rsidRPr="00635535" w:rsidRDefault="009C2F3A" w:rsidP="00635535">
      <w:pPr>
        <w:pStyle w:val="Zpat"/>
        <w:tabs>
          <w:tab w:val="clear" w:pos="4536"/>
          <w:tab w:val="clear" w:pos="9072"/>
        </w:tabs>
        <w:ind w:left="4956"/>
      </w:pPr>
      <w:r>
        <w:t xml:space="preserve">  pověřen vedením </w:t>
      </w:r>
      <w:r w:rsidR="00E542AF">
        <w:t>Odboru sportu</w:t>
      </w:r>
      <w:r w:rsidR="00D02DE8">
        <w:t xml:space="preserve"> </w:t>
      </w:r>
      <w:r w:rsidR="00E542AF">
        <w:t>MMP</w:t>
      </w:r>
      <w:r w:rsidR="00E542AF">
        <w:br w:type="page"/>
      </w:r>
    </w:p>
    <w:p w:rsidR="009442B3" w:rsidRPr="0010380B" w:rsidRDefault="009442B3" w:rsidP="00944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9442B3" w:rsidRDefault="009442B3" w:rsidP="009442B3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9442B3" w:rsidRPr="0010380B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9442B3" w:rsidRPr="0010380B" w:rsidTr="009442B3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9442B3" w:rsidRPr="0010380B" w:rsidTr="009442B3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9442B3" w:rsidRPr="00F34B70" w:rsidRDefault="009442B3" w:rsidP="009442B3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9442B3" w:rsidRDefault="009442B3" w:rsidP="009442B3">
      <w:pPr>
        <w:jc w:val="both"/>
      </w:pPr>
    </w:p>
    <w:p w:rsidR="009442B3" w:rsidRPr="0010380B" w:rsidRDefault="009442B3" w:rsidP="009442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Pr="0010380B" w:rsidRDefault="009442B3" w:rsidP="009442B3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9442B3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9442B3" w:rsidRPr="0010380B" w:rsidTr="009442B3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9442B3" w:rsidRPr="0010380B" w:rsidTr="009442B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37370F" w:rsidRDefault="0037370F" w:rsidP="0037370F">
      <w:pPr>
        <w:pStyle w:val="Nzev"/>
        <w:tabs>
          <w:tab w:val="center" w:pos="5386"/>
        </w:tabs>
        <w:rPr>
          <w:i/>
        </w:rPr>
      </w:pPr>
      <w:r>
        <w:rPr>
          <w:i/>
        </w:rPr>
        <w:lastRenderedPageBreak/>
        <w:t>ČESTNÉ PROHLÁŠENÍ</w:t>
      </w:r>
    </w:p>
    <w:p w:rsidR="0037370F" w:rsidRPr="00A3312B" w:rsidRDefault="0037370F" w:rsidP="0037370F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37370F" w:rsidRPr="00A3312B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se seznámil se směrnicí QS 61-27 – Zásady poskytování dotací z rozpočtu statutárního města Plzně;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37370F" w:rsidRDefault="0037370F" w:rsidP="0037370F">
      <w:pPr>
        <w:ind w:right="850"/>
        <w:jc w:val="both"/>
        <w:rPr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EA165E" w:rsidRDefault="0037370F" w:rsidP="0037370F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DF33E8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A3312B" w:rsidRDefault="0037370F" w:rsidP="0037370F">
      <w:pPr>
        <w:ind w:right="850"/>
        <w:jc w:val="both"/>
        <w:rPr>
          <w:szCs w:val="20"/>
        </w:rPr>
      </w:pPr>
      <w:r w:rsidRPr="00A3312B">
        <w:rPr>
          <w:szCs w:val="20"/>
        </w:rPr>
        <w:t xml:space="preserve">V ……………  dne …………                         </w:t>
      </w:r>
    </w:p>
    <w:p w:rsidR="0037370F" w:rsidRDefault="0037370F" w:rsidP="0037370F">
      <w:pPr>
        <w:ind w:right="850"/>
        <w:jc w:val="both"/>
        <w:rPr>
          <w:b/>
        </w:rPr>
      </w:pPr>
    </w:p>
    <w:p w:rsidR="0037370F" w:rsidRDefault="0037370F" w:rsidP="0037370F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37370F" w:rsidRPr="00E542AF" w:rsidRDefault="0037370F" w:rsidP="0037370F">
      <w:pPr>
        <w:pStyle w:val="Nadpis2"/>
        <w:ind w:left="3540"/>
        <w:jc w:val="both"/>
        <w:rPr>
          <w:i w:val="0"/>
          <w:sz w:val="22"/>
        </w:rPr>
      </w:pPr>
      <w:bookmarkStart w:id="7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7"/>
      <w:r w:rsidRPr="00E542AF">
        <w:rPr>
          <w:i w:val="0"/>
          <w:sz w:val="22"/>
        </w:rPr>
        <w:t xml:space="preserve">   </w:t>
      </w:r>
    </w:p>
    <w:p w:rsidR="0037370F" w:rsidRPr="00E542AF" w:rsidRDefault="0037370F" w:rsidP="0037370F">
      <w:pPr>
        <w:rPr>
          <w:b/>
          <w:sz w:val="20"/>
        </w:rPr>
      </w:pPr>
    </w:p>
    <w:p w:rsidR="0037370F" w:rsidRDefault="00864800" w:rsidP="00864800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37370F" w:rsidRDefault="0037370F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6343CC" w:rsidRDefault="006343CC" w:rsidP="002E4E66">
      <w:pPr>
        <w:jc w:val="center"/>
        <w:rPr>
          <w:b/>
          <w:i/>
          <w:color w:val="000000"/>
          <w:sz w:val="20"/>
          <w:szCs w:val="20"/>
        </w:rPr>
      </w:pPr>
    </w:p>
    <w:p w:rsidR="006343CC" w:rsidRDefault="006343CC" w:rsidP="006343CC"/>
    <w:sectPr w:rsidR="006343CC" w:rsidSect="00D915A0">
      <w:footerReference w:type="even" r:id="rId9"/>
      <w:footerReference w:type="default" r:id="rId10"/>
      <w:headerReference w:type="first" r:id="rId11"/>
      <w:pgSz w:w="11906" w:h="16838" w:code="9"/>
      <w:pgMar w:top="851" w:right="1417" w:bottom="851" w:left="1417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64" w:rsidRDefault="00D80A64">
      <w:r>
        <w:separator/>
      </w:r>
    </w:p>
  </w:endnote>
  <w:endnote w:type="continuationSeparator" w:id="0">
    <w:p w:rsidR="00D80A64" w:rsidRDefault="00D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2E31D0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1D0" w:rsidRDefault="002E3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2E31D0" w:rsidP="00323757">
    <w:pPr>
      <w:pStyle w:val="Zpat"/>
      <w:framePr w:wrap="around" w:vAnchor="text" w:hAnchor="margin" w:xAlign="center" w:y="-19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E31D0" w:rsidRDefault="002E3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64" w:rsidRDefault="00D80A64">
      <w:r>
        <w:separator/>
      </w:r>
    </w:p>
  </w:footnote>
  <w:footnote w:type="continuationSeparator" w:id="0">
    <w:p w:rsidR="00D80A64" w:rsidRDefault="00D8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C5" w:rsidRDefault="008337C5" w:rsidP="00D915A0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15131"/>
    <w:multiLevelType w:val="hybridMultilevel"/>
    <w:tmpl w:val="7E2E4C9E"/>
    <w:lvl w:ilvl="0" w:tplc="FF644D3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D349A0"/>
    <w:multiLevelType w:val="hybridMultilevel"/>
    <w:tmpl w:val="82D825E6"/>
    <w:lvl w:ilvl="0" w:tplc="54E2E3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8810CB"/>
    <w:multiLevelType w:val="hybridMultilevel"/>
    <w:tmpl w:val="CF00E1FE"/>
    <w:lvl w:ilvl="0" w:tplc="52F4D57C">
      <w:start w:val="1"/>
      <w:numFmt w:val="lowerLetter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20E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B966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B142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8482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1DE2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D649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28CC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288D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1E36"/>
    <w:multiLevelType w:val="hybridMultilevel"/>
    <w:tmpl w:val="4828898A"/>
    <w:lvl w:ilvl="0" w:tplc="FD404C14">
      <w:start w:val="4"/>
      <w:numFmt w:val="lowerLetter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C22D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763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FEE6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DC6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584E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E0CE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F4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67E7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10FF6"/>
    <w:multiLevelType w:val="hybridMultilevel"/>
    <w:tmpl w:val="E4B82AD2"/>
    <w:lvl w:ilvl="0" w:tplc="1CB47B68">
      <w:start w:val="1"/>
      <w:numFmt w:val="bullet"/>
      <w:lvlText w:val="•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B6229E2">
      <w:start w:val="1"/>
      <w:numFmt w:val="bullet"/>
      <w:lvlText w:val="o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C292B0">
      <w:start w:val="1"/>
      <w:numFmt w:val="bullet"/>
      <w:lvlText w:val="▪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FC25806">
      <w:start w:val="1"/>
      <w:numFmt w:val="bullet"/>
      <w:lvlText w:val="•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D66334">
      <w:start w:val="1"/>
      <w:numFmt w:val="bullet"/>
      <w:lvlText w:val="o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2F852EA">
      <w:start w:val="1"/>
      <w:numFmt w:val="bullet"/>
      <w:lvlText w:val="▪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92B4F4">
      <w:start w:val="1"/>
      <w:numFmt w:val="bullet"/>
      <w:lvlText w:val="•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B6AFD8">
      <w:start w:val="1"/>
      <w:numFmt w:val="bullet"/>
      <w:lvlText w:val="o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8F2C606">
      <w:start w:val="1"/>
      <w:numFmt w:val="bullet"/>
      <w:lvlText w:val="▪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9"/>
  </w:num>
  <w:num w:numId="4">
    <w:abstractNumId w:val="23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17"/>
  </w:num>
  <w:num w:numId="10">
    <w:abstractNumId w:val="15"/>
  </w:num>
  <w:num w:numId="11">
    <w:abstractNumId w:val="32"/>
  </w:num>
  <w:num w:numId="12">
    <w:abstractNumId w:val="3"/>
  </w:num>
  <w:num w:numId="13">
    <w:abstractNumId w:val="26"/>
  </w:num>
  <w:num w:numId="14">
    <w:abstractNumId w:val="24"/>
  </w:num>
  <w:num w:numId="15">
    <w:abstractNumId w:val="30"/>
  </w:num>
  <w:num w:numId="16">
    <w:abstractNumId w:val="4"/>
  </w:num>
  <w:num w:numId="17">
    <w:abstractNumId w:val="11"/>
  </w:num>
  <w:num w:numId="18">
    <w:abstractNumId w:val="28"/>
  </w:num>
  <w:num w:numId="19">
    <w:abstractNumId w:val="31"/>
  </w:num>
  <w:num w:numId="20">
    <w:abstractNumId w:val="8"/>
  </w:num>
  <w:num w:numId="21">
    <w:abstractNumId w:val="2"/>
  </w:num>
  <w:num w:numId="22">
    <w:abstractNumId w:val="22"/>
  </w:num>
  <w:num w:numId="23">
    <w:abstractNumId w:val="25"/>
  </w:num>
  <w:num w:numId="24">
    <w:abstractNumId w:val="18"/>
  </w:num>
  <w:num w:numId="25">
    <w:abstractNumId w:val="14"/>
  </w:num>
  <w:num w:numId="26">
    <w:abstractNumId w:val="12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0"/>
  </w:num>
  <w:num w:numId="32">
    <w:abstractNumId w:val="27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3F2D"/>
    <w:rsid w:val="00005E95"/>
    <w:rsid w:val="00012A90"/>
    <w:rsid w:val="0001391F"/>
    <w:rsid w:val="00026E19"/>
    <w:rsid w:val="00030E79"/>
    <w:rsid w:val="00046E67"/>
    <w:rsid w:val="00047076"/>
    <w:rsid w:val="00047DD0"/>
    <w:rsid w:val="000516AA"/>
    <w:rsid w:val="00065AFF"/>
    <w:rsid w:val="00072A35"/>
    <w:rsid w:val="00085066"/>
    <w:rsid w:val="000867D9"/>
    <w:rsid w:val="000868A1"/>
    <w:rsid w:val="00086B09"/>
    <w:rsid w:val="000910B8"/>
    <w:rsid w:val="0009533F"/>
    <w:rsid w:val="000B182A"/>
    <w:rsid w:val="000C2141"/>
    <w:rsid w:val="000C4D02"/>
    <w:rsid w:val="000D03B9"/>
    <w:rsid w:val="000D21AC"/>
    <w:rsid w:val="000D3F92"/>
    <w:rsid w:val="000E028B"/>
    <w:rsid w:val="000E5BB9"/>
    <w:rsid w:val="000E7F46"/>
    <w:rsid w:val="001034AE"/>
    <w:rsid w:val="00104C3C"/>
    <w:rsid w:val="0010682C"/>
    <w:rsid w:val="00106F79"/>
    <w:rsid w:val="00122851"/>
    <w:rsid w:val="0012295C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1C38D9"/>
    <w:rsid w:val="001D08AF"/>
    <w:rsid w:val="001D0FB6"/>
    <w:rsid w:val="001D1FD8"/>
    <w:rsid w:val="001D5135"/>
    <w:rsid w:val="002039F3"/>
    <w:rsid w:val="00204B0E"/>
    <w:rsid w:val="00214E1E"/>
    <w:rsid w:val="002476B4"/>
    <w:rsid w:val="00251EDE"/>
    <w:rsid w:val="00254445"/>
    <w:rsid w:val="00257000"/>
    <w:rsid w:val="002644C1"/>
    <w:rsid w:val="00265DB8"/>
    <w:rsid w:val="0027469F"/>
    <w:rsid w:val="00281DB5"/>
    <w:rsid w:val="002911CE"/>
    <w:rsid w:val="002A1BBD"/>
    <w:rsid w:val="002A7BA1"/>
    <w:rsid w:val="002B1E43"/>
    <w:rsid w:val="002D3C02"/>
    <w:rsid w:val="002E31D0"/>
    <w:rsid w:val="002E33FC"/>
    <w:rsid w:val="002E4E66"/>
    <w:rsid w:val="002F0FF9"/>
    <w:rsid w:val="003019BE"/>
    <w:rsid w:val="003022FA"/>
    <w:rsid w:val="00312E7E"/>
    <w:rsid w:val="00317F29"/>
    <w:rsid w:val="00323757"/>
    <w:rsid w:val="0033510B"/>
    <w:rsid w:val="0033783D"/>
    <w:rsid w:val="0034024B"/>
    <w:rsid w:val="00360673"/>
    <w:rsid w:val="003633BB"/>
    <w:rsid w:val="00365BCA"/>
    <w:rsid w:val="003668AA"/>
    <w:rsid w:val="0037370F"/>
    <w:rsid w:val="003752D3"/>
    <w:rsid w:val="00375983"/>
    <w:rsid w:val="003854C2"/>
    <w:rsid w:val="0039614D"/>
    <w:rsid w:val="003961EF"/>
    <w:rsid w:val="00397B3A"/>
    <w:rsid w:val="00397FFE"/>
    <w:rsid w:val="003B0E96"/>
    <w:rsid w:val="003B1517"/>
    <w:rsid w:val="003B5AFE"/>
    <w:rsid w:val="003B67C4"/>
    <w:rsid w:val="003B731C"/>
    <w:rsid w:val="003D0002"/>
    <w:rsid w:val="003D1B23"/>
    <w:rsid w:val="003D32AA"/>
    <w:rsid w:val="003E2A8B"/>
    <w:rsid w:val="003E73C5"/>
    <w:rsid w:val="003E7696"/>
    <w:rsid w:val="003F5BEE"/>
    <w:rsid w:val="00402F16"/>
    <w:rsid w:val="004215D8"/>
    <w:rsid w:val="00426A87"/>
    <w:rsid w:val="00434D03"/>
    <w:rsid w:val="004470CD"/>
    <w:rsid w:val="00455520"/>
    <w:rsid w:val="00470FFA"/>
    <w:rsid w:val="00477597"/>
    <w:rsid w:val="00486CF1"/>
    <w:rsid w:val="00490536"/>
    <w:rsid w:val="00493CF9"/>
    <w:rsid w:val="0049536D"/>
    <w:rsid w:val="004A20DB"/>
    <w:rsid w:val="004B1F80"/>
    <w:rsid w:val="004B3171"/>
    <w:rsid w:val="004B4532"/>
    <w:rsid w:val="004B78EE"/>
    <w:rsid w:val="004C7717"/>
    <w:rsid w:val="004D0134"/>
    <w:rsid w:val="004D71C8"/>
    <w:rsid w:val="004E59BA"/>
    <w:rsid w:val="004F17C5"/>
    <w:rsid w:val="004F3C08"/>
    <w:rsid w:val="004F3CED"/>
    <w:rsid w:val="00501C02"/>
    <w:rsid w:val="00502728"/>
    <w:rsid w:val="00510432"/>
    <w:rsid w:val="0052339B"/>
    <w:rsid w:val="00527143"/>
    <w:rsid w:val="00534A80"/>
    <w:rsid w:val="00536D0D"/>
    <w:rsid w:val="00537FC1"/>
    <w:rsid w:val="00540BE1"/>
    <w:rsid w:val="00541F5E"/>
    <w:rsid w:val="00544B04"/>
    <w:rsid w:val="00555EC3"/>
    <w:rsid w:val="00557BF9"/>
    <w:rsid w:val="00565B66"/>
    <w:rsid w:val="00573F0E"/>
    <w:rsid w:val="005753EF"/>
    <w:rsid w:val="00577254"/>
    <w:rsid w:val="00582ADA"/>
    <w:rsid w:val="005919B3"/>
    <w:rsid w:val="00595C3F"/>
    <w:rsid w:val="005A34A2"/>
    <w:rsid w:val="005B09D6"/>
    <w:rsid w:val="005D0E4A"/>
    <w:rsid w:val="005D475A"/>
    <w:rsid w:val="005E5017"/>
    <w:rsid w:val="005E510D"/>
    <w:rsid w:val="005F1A63"/>
    <w:rsid w:val="005F79E5"/>
    <w:rsid w:val="006003AD"/>
    <w:rsid w:val="00600E54"/>
    <w:rsid w:val="00606F05"/>
    <w:rsid w:val="00606F8D"/>
    <w:rsid w:val="00607316"/>
    <w:rsid w:val="0062128D"/>
    <w:rsid w:val="00623875"/>
    <w:rsid w:val="006343CC"/>
    <w:rsid w:val="00634B6B"/>
    <w:rsid w:val="00635535"/>
    <w:rsid w:val="00640BE8"/>
    <w:rsid w:val="00661B7E"/>
    <w:rsid w:val="006670D4"/>
    <w:rsid w:val="00672FCE"/>
    <w:rsid w:val="00682CA1"/>
    <w:rsid w:val="006901B3"/>
    <w:rsid w:val="006A5123"/>
    <w:rsid w:val="006B226F"/>
    <w:rsid w:val="006B3498"/>
    <w:rsid w:val="006B3DA0"/>
    <w:rsid w:val="006B3DDA"/>
    <w:rsid w:val="006C42F1"/>
    <w:rsid w:val="006C4FDC"/>
    <w:rsid w:val="006C5AAD"/>
    <w:rsid w:val="006C70E2"/>
    <w:rsid w:val="006D6C6A"/>
    <w:rsid w:val="006E7648"/>
    <w:rsid w:val="006F2C27"/>
    <w:rsid w:val="006F45D4"/>
    <w:rsid w:val="006F4909"/>
    <w:rsid w:val="00702F7E"/>
    <w:rsid w:val="00702FA0"/>
    <w:rsid w:val="00712014"/>
    <w:rsid w:val="007227B1"/>
    <w:rsid w:val="00722A04"/>
    <w:rsid w:val="00725555"/>
    <w:rsid w:val="00727622"/>
    <w:rsid w:val="007308E2"/>
    <w:rsid w:val="00732C5C"/>
    <w:rsid w:val="00732C9B"/>
    <w:rsid w:val="0074108A"/>
    <w:rsid w:val="007462B5"/>
    <w:rsid w:val="00753887"/>
    <w:rsid w:val="0075670E"/>
    <w:rsid w:val="00756DE4"/>
    <w:rsid w:val="00760F3D"/>
    <w:rsid w:val="0078195A"/>
    <w:rsid w:val="007872DE"/>
    <w:rsid w:val="00787AA7"/>
    <w:rsid w:val="00787AB6"/>
    <w:rsid w:val="007906D3"/>
    <w:rsid w:val="007949CA"/>
    <w:rsid w:val="007A110A"/>
    <w:rsid w:val="007B1BF7"/>
    <w:rsid w:val="007B28D3"/>
    <w:rsid w:val="007B52F9"/>
    <w:rsid w:val="007B7A9B"/>
    <w:rsid w:val="007C246F"/>
    <w:rsid w:val="007C5846"/>
    <w:rsid w:val="007C72E2"/>
    <w:rsid w:val="007D27D2"/>
    <w:rsid w:val="007D3B21"/>
    <w:rsid w:val="007E015B"/>
    <w:rsid w:val="007E0228"/>
    <w:rsid w:val="007F1327"/>
    <w:rsid w:val="0080520E"/>
    <w:rsid w:val="0082388F"/>
    <w:rsid w:val="00832B7C"/>
    <w:rsid w:val="008337C5"/>
    <w:rsid w:val="008360AF"/>
    <w:rsid w:val="0085041A"/>
    <w:rsid w:val="00857615"/>
    <w:rsid w:val="0086098D"/>
    <w:rsid w:val="008622E6"/>
    <w:rsid w:val="00864800"/>
    <w:rsid w:val="00866E09"/>
    <w:rsid w:val="00867812"/>
    <w:rsid w:val="00881B51"/>
    <w:rsid w:val="00881FDC"/>
    <w:rsid w:val="00882A5A"/>
    <w:rsid w:val="008833FB"/>
    <w:rsid w:val="00892DBF"/>
    <w:rsid w:val="0089356E"/>
    <w:rsid w:val="0089556D"/>
    <w:rsid w:val="008A2E47"/>
    <w:rsid w:val="008A6738"/>
    <w:rsid w:val="008B22D3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E6802"/>
    <w:rsid w:val="008F0693"/>
    <w:rsid w:val="008F2465"/>
    <w:rsid w:val="008F611E"/>
    <w:rsid w:val="009008F9"/>
    <w:rsid w:val="00906F0A"/>
    <w:rsid w:val="0091049E"/>
    <w:rsid w:val="00913762"/>
    <w:rsid w:val="009305B1"/>
    <w:rsid w:val="00931598"/>
    <w:rsid w:val="00940FE2"/>
    <w:rsid w:val="00941A6C"/>
    <w:rsid w:val="0094241B"/>
    <w:rsid w:val="009442B3"/>
    <w:rsid w:val="00946EC8"/>
    <w:rsid w:val="00950E34"/>
    <w:rsid w:val="009713E2"/>
    <w:rsid w:val="00972844"/>
    <w:rsid w:val="0097424E"/>
    <w:rsid w:val="00975F30"/>
    <w:rsid w:val="00981F52"/>
    <w:rsid w:val="00986BBB"/>
    <w:rsid w:val="00991E64"/>
    <w:rsid w:val="009923B6"/>
    <w:rsid w:val="00992EEF"/>
    <w:rsid w:val="00996684"/>
    <w:rsid w:val="009A1874"/>
    <w:rsid w:val="009A1EA8"/>
    <w:rsid w:val="009A5D70"/>
    <w:rsid w:val="009B588D"/>
    <w:rsid w:val="009B7DEE"/>
    <w:rsid w:val="009C2C2A"/>
    <w:rsid w:val="009C2F3A"/>
    <w:rsid w:val="009C7948"/>
    <w:rsid w:val="009E2333"/>
    <w:rsid w:val="009E74A2"/>
    <w:rsid w:val="00A0240C"/>
    <w:rsid w:val="00A15E7D"/>
    <w:rsid w:val="00A17858"/>
    <w:rsid w:val="00A341DE"/>
    <w:rsid w:val="00A353D8"/>
    <w:rsid w:val="00A44EA2"/>
    <w:rsid w:val="00A453E5"/>
    <w:rsid w:val="00A502A7"/>
    <w:rsid w:val="00A64346"/>
    <w:rsid w:val="00A70810"/>
    <w:rsid w:val="00A71BD5"/>
    <w:rsid w:val="00A7274B"/>
    <w:rsid w:val="00A80C38"/>
    <w:rsid w:val="00A80CAC"/>
    <w:rsid w:val="00A84D48"/>
    <w:rsid w:val="00A87699"/>
    <w:rsid w:val="00A9351B"/>
    <w:rsid w:val="00A9780B"/>
    <w:rsid w:val="00AA1706"/>
    <w:rsid w:val="00AC7852"/>
    <w:rsid w:val="00AD2671"/>
    <w:rsid w:val="00AD4FD2"/>
    <w:rsid w:val="00AD62BF"/>
    <w:rsid w:val="00AD63C1"/>
    <w:rsid w:val="00AD778E"/>
    <w:rsid w:val="00AE3E1E"/>
    <w:rsid w:val="00AE4048"/>
    <w:rsid w:val="00AE730A"/>
    <w:rsid w:val="00AF13DA"/>
    <w:rsid w:val="00AF7320"/>
    <w:rsid w:val="00B23DEE"/>
    <w:rsid w:val="00B33723"/>
    <w:rsid w:val="00B36D93"/>
    <w:rsid w:val="00B413FC"/>
    <w:rsid w:val="00B44D2C"/>
    <w:rsid w:val="00B50651"/>
    <w:rsid w:val="00B64ABD"/>
    <w:rsid w:val="00B817C4"/>
    <w:rsid w:val="00B8541B"/>
    <w:rsid w:val="00B90755"/>
    <w:rsid w:val="00B97615"/>
    <w:rsid w:val="00BA0B2D"/>
    <w:rsid w:val="00BA7887"/>
    <w:rsid w:val="00BB4522"/>
    <w:rsid w:val="00BB6160"/>
    <w:rsid w:val="00BC1B71"/>
    <w:rsid w:val="00BC203C"/>
    <w:rsid w:val="00BC2C8D"/>
    <w:rsid w:val="00BD783E"/>
    <w:rsid w:val="00BE1458"/>
    <w:rsid w:val="00BF4860"/>
    <w:rsid w:val="00BF6838"/>
    <w:rsid w:val="00C06722"/>
    <w:rsid w:val="00C067ED"/>
    <w:rsid w:val="00C2101D"/>
    <w:rsid w:val="00C25D27"/>
    <w:rsid w:val="00C303E6"/>
    <w:rsid w:val="00C35E0A"/>
    <w:rsid w:val="00C43CF2"/>
    <w:rsid w:val="00C43ECC"/>
    <w:rsid w:val="00C4745B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B3288"/>
    <w:rsid w:val="00CB78F6"/>
    <w:rsid w:val="00CC0298"/>
    <w:rsid w:val="00CC203A"/>
    <w:rsid w:val="00CC2F01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CF7ED3"/>
    <w:rsid w:val="00D02DE8"/>
    <w:rsid w:val="00D14433"/>
    <w:rsid w:val="00D33A5E"/>
    <w:rsid w:val="00D34ED8"/>
    <w:rsid w:val="00D40A02"/>
    <w:rsid w:val="00D57608"/>
    <w:rsid w:val="00D64AF6"/>
    <w:rsid w:val="00D75C3B"/>
    <w:rsid w:val="00D80A64"/>
    <w:rsid w:val="00D80FDE"/>
    <w:rsid w:val="00D84944"/>
    <w:rsid w:val="00D9006D"/>
    <w:rsid w:val="00D915A0"/>
    <w:rsid w:val="00D930A6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E02798"/>
    <w:rsid w:val="00E02BC0"/>
    <w:rsid w:val="00E12307"/>
    <w:rsid w:val="00E12511"/>
    <w:rsid w:val="00E26197"/>
    <w:rsid w:val="00E34012"/>
    <w:rsid w:val="00E35044"/>
    <w:rsid w:val="00E358FB"/>
    <w:rsid w:val="00E44591"/>
    <w:rsid w:val="00E4632F"/>
    <w:rsid w:val="00E542AF"/>
    <w:rsid w:val="00E54730"/>
    <w:rsid w:val="00E57251"/>
    <w:rsid w:val="00E61B09"/>
    <w:rsid w:val="00E639EC"/>
    <w:rsid w:val="00E64FEA"/>
    <w:rsid w:val="00E75526"/>
    <w:rsid w:val="00E76E32"/>
    <w:rsid w:val="00E95002"/>
    <w:rsid w:val="00EA165E"/>
    <w:rsid w:val="00EA6DB4"/>
    <w:rsid w:val="00EB13AA"/>
    <w:rsid w:val="00EB1C06"/>
    <w:rsid w:val="00EB3332"/>
    <w:rsid w:val="00EB5038"/>
    <w:rsid w:val="00EC29CD"/>
    <w:rsid w:val="00EC4076"/>
    <w:rsid w:val="00EC5C2A"/>
    <w:rsid w:val="00EC6CB2"/>
    <w:rsid w:val="00EC7539"/>
    <w:rsid w:val="00EF025A"/>
    <w:rsid w:val="00EF3F73"/>
    <w:rsid w:val="00F00FF6"/>
    <w:rsid w:val="00F061D4"/>
    <w:rsid w:val="00F14781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E34E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13DA"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  <w:style w:type="table" w:customStyle="1" w:styleId="TableGrid">
    <w:name w:val="TableGrid"/>
    <w:rsid w:val="006D6C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5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1472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10386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Švarc Přemysl</cp:lastModifiedBy>
  <cp:revision>4</cp:revision>
  <cp:lastPrinted>2023-02-10T10:42:00Z</cp:lastPrinted>
  <dcterms:created xsi:type="dcterms:W3CDTF">2023-02-10T14:26:00Z</dcterms:created>
  <dcterms:modified xsi:type="dcterms:W3CDTF">2023-02-13T11:02:00Z</dcterms:modified>
</cp:coreProperties>
</file>